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5572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lang w:eastAsia="es-ES"/>
        </w:rPr>
      </w:pPr>
      <w:r w:rsidRPr="00C43F3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0F244077">
                <wp:simplePos x="0" y="0"/>
                <wp:positionH relativeFrom="margin">
                  <wp:posOffset>2155825</wp:posOffset>
                </wp:positionH>
                <wp:positionV relativeFrom="paragraph">
                  <wp:posOffset>0</wp:posOffset>
                </wp:positionV>
                <wp:extent cx="3617595" cy="1810385"/>
                <wp:effectExtent l="0" t="0" r="1905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181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4DCD" w14:textId="77777777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Procedimiento Especial Sancionador</w:t>
                            </w:r>
                          </w:p>
                          <w:p w14:paraId="3A95931B" w14:textId="47AB6578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Expediente: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TEEA-PES-0</w:t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E20227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>/202</w:t>
                            </w:r>
                            <w:r w:rsidR="004F0FF6" w:rsidRPr="0048562C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739404A" w14:textId="6A264A7B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F7343" w:rsidRPr="0048562C"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E20227">
                              <w:rPr>
                                <w:rFonts w:ascii="Arial" w:hAnsi="Arial" w:cs="Arial"/>
                              </w:rPr>
                              <w:t>Luz María Padilla de Luna, representante propietaria del partido MC, ante el CG del IEE</w:t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872D98"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A640352" w14:textId="017A3FD2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Denunciado</w:t>
                            </w:r>
                            <w:r w:rsidR="00872D98" w:rsidRPr="0048562C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E20227">
                              <w:rPr>
                                <w:rFonts w:ascii="Arial" w:hAnsi="Arial" w:cs="Arial"/>
                              </w:rPr>
                              <w:t>Francisco Arturo Federico Ávila Anaya y partido MORENA.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69.75pt;margin-top:0;width:284.85pt;height:14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" stroked="f">
                <v:textbox>
                  <w:txbxContent>
                    <w:p w14:paraId="65604DCD" w14:textId="77777777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Procedimiento Especial Sancionador</w:t>
                      </w:r>
                    </w:p>
                    <w:p w14:paraId="3A95931B" w14:textId="47AB6578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Expediente: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TEEA-PES-0</w:t>
                      </w:r>
                      <w:r w:rsidR="00767E9A">
                        <w:rPr>
                          <w:rFonts w:ascii="Arial" w:hAnsi="Arial" w:cs="Arial"/>
                        </w:rPr>
                        <w:t>2</w:t>
                      </w:r>
                      <w:r w:rsidR="00E20227">
                        <w:rPr>
                          <w:rFonts w:ascii="Arial" w:hAnsi="Arial" w:cs="Arial"/>
                        </w:rPr>
                        <w:t>4</w:t>
                      </w:r>
                      <w:r w:rsidRPr="0048562C">
                        <w:rPr>
                          <w:rFonts w:ascii="Arial" w:hAnsi="Arial" w:cs="Arial"/>
                        </w:rPr>
                        <w:t>/202</w:t>
                      </w:r>
                      <w:r w:rsidR="004F0FF6" w:rsidRPr="0048562C">
                        <w:rPr>
                          <w:rFonts w:ascii="Arial" w:hAnsi="Arial" w:cs="Arial"/>
                        </w:rPr>
                        <w:t>1</w:t>
                      </w:r>
                      <w:r w:rsidR="00767E9A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739404A" w14:textId="6A264A7B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BF7343" w:rsidRPr="0048562C">
                        <w:rPr>
                          <w:rFonts w:ascii="Arial" w:hAnsi="Arial" w:cs="Arial"/>
                        </w:rPr>
                        <w:t xml:space="preserve">C. </w:t>
                      </w:r>
                      <w:r w:rsidR="00E20227">
                        <w:rPr>
                          <w:rFonts w:ascii="Arial" w:hAnsi="Arial" w:cs="Arial"/>
                        </w:rPr>
                        <w:t>Luz María Padilla de Luna, representante propietaria del partido MC, ante el CG del IEE</w:t>
                      </w:r>
                      <w:r w:rsidR="00767E9A">
                        <w:rPr>
                          <w:rFonts w:ascii="Arial" w:hAnsi="Arial" w:cs="Arial"/>
                        </w:rPr>
                        <w:t>.</w:t>
                      </w:r>
                      <w:r w:rsidR="00872D98" w:rsidRPr="0048562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A640352" w14:textId="017A3FD2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Denunciado</w:t>
                      </w:r>
                      <w:r w:rsidR="00872D98" w:rsidRPr="0048562C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48562C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767E9A">
                        <w:rPr>
                          <w:rFonts w:ascii="Arial" w:hAnsi="Arial" w:cs="Arial"/>
                        </w:rPr>
                        <w:t xml:space="preserve">C. </w:t>
                      </w:r>
                      <w:r w:rsidR="00E20227">
                        <w:rPr>
                          <w:rFonts w:ascii="Arial" w:hAnsi="Arial" w:cs="Arial"/>
                        </w:rPr>
                        <w:t>Francisco Arturo Federico Ávila Anaya y partido MORENA.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EFDD27F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4A81403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B890493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328154A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2698FE3B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lang w:eastAsia="es-ES"/>
        </w:rPr>
      </w:pPr>
    </w:p>
    <w:p w14:paraId="6D03D430" w14:textId="77777777" w:rsidR="00D53B88" w:rsidRPr="00C43F37" w:rsidRDefault="00D53B88" w:rsidP="00D53B88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326FB627" w14:textId="77777777" w:rsidR="00BF7343" w:rsidRDefault="00BF7343" w:rsidP="00D53B88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25015D44" w14:textId="65398D02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 xml:space="preserve">El Secretario General de Acuerdos, Jesús Ociel Baena Saucedo, da cuenta a la Magistrada Claudia Eloisa Díaz de León González, presidenta de este órgano jurisdiccional electoral, con la siguiente documentación, </w:t>
      </w:r>
      <w:bookmarkStart w:id="0" w:name="_Hlk503018402"/>
      <w:r w:rsidRPr="006E735B">
        <w:rPr>
          <w:rFonts w:ascii="Arial" w:eastAsia="Times New Roman" w:hAnsi="Arial" w:cs="Arial"/>
          <w:bCs/>
          <w:lang w:eastAsia="es-MX"/>
        </w:rPr>
        <w:t xml:space="preserve">recibida mediante Oficio </w:t>
      </w:r>
      <w:bookmarkStart w:id="1" w:name="_Hlk515868995"/>
      <w:r w:rsidRPr="006E735B">
        <w:rPr>
          <w:rFonts w:ascii="Arial" w:eastAsia="Times New Roman" w:hAnsi="Arial" w:cs="Arial"/>
          <w:bCs/>
          <w:lang w:val="es-ES" w:eastAsia="es-MX"/>
        </w:rPr>
        <w:t>TEEA-OP-</w:t>
      </w:r>
      <w:r w:rsidR="00767E9A">
        <w:rPr>
          <w:rFonts w:ascii="Arial" w:eastAsia="Times New Roman" w:hAnsi="Arial" w:cs="Arial"/>
          <w:bCs/>
          <w:lang w:val="es-ES" w:eastAsia="es-MX"/>
        </w:rPr>
        <w:t>55</w:t>
      </w:r>
      <w:r w:rsidR="00E20227">
        <w:rPr>
          <w:rFonts w:ascii="Arial" w:eastAsia="Times New Roman" w:hAnsi="Arial" w:cs="Arial"/>
          <w:bCs/>
          <w:lang w:val="es-ES" w:eastAsia="es-MX"/>
        </w:rPr>
        <w:t>1</w:t>
      </w:r>
      <w:r w:rsidRPr="006E735B">
        <w:rPr>
          <w:rFonts w:ascii="Arial" w:eastAsia="Times New Roman" w:hAnsi="Arial" w:cs="Arial"/>
          <w:bCs/>
          <w:lang w:val="es-ES" w:eastAsia="es-MX"/>
        </w:rPr>
        <w:t>/202</w:t>
      </w:r>
      <w:r>
        <w:rPr>
          <w:rFonts w:ascii="Arial" w:eastAsia="Times New Roman" w:hAnsi="Arial" w:cs="Arial"/>
          <w:bCs/>
          <w:lang w:val="es-ES" w:eastAsia="es-MX"/>
        </w:rPr>
        <w:t>1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1"/>
      <w:r w:rsidRPr="006E735B">
        <w:rPr>
          <w:rFonts w:ascii="Arial" w:eastAsia="Times New Roman" w:hAnsi="Arial" w:cs="Arial"/>
          <w:bCs/>
          <w:lang w:val="es-ES" w:eastAsia="es-MX"/>
        </w:rPr>
        <w:t>de fecha</w:t>
      </w:r>
      <w:r w:rsidR="003213DE">
        <w:rPr>
          <w:rFonts w:ascii="Arial" w:eastAsia="Times New Roman" w:hAnsi="Arial" w:cs="Arial"/>
          <w:bCs/>
          <w:lang w:val="es-ES" w:eastAsia="es-MX"/>
        </w:rPr>
        <w:t xml:space="preserve"> </w:t>
      </w:r>
      <w:r w:rsidR="00767E9A">
        <w:rPr>
          <w:rFonts w:ascii="Arial" w:eastAsia="Times New Roman" w:hAnsi="Arial" w:cs="Arial"/>
          <w:bCs/>
          <w:lang w:val="es-ES" w:eastAsia="es-MX"/>
        </w:rPr>
        <w:t>primero</w:t>
      </w:r>
      <w:r w:rsidR="00CB6368">
        <w:rPr>
          <w:rFonts w:ascii="Arial" w:eastAsia="Times New Roman" w:hAnsi="Arial" w:cs="Arial"/>
          <w:bCs/>
          <w:lang w:val="es-ES" w:eastAsia="es-MX"/>
        </w:rPr>
        <w:t xml:space="preserve"> </w:t>
      </w:r>
      <w:r>
        <w:rPr>
          <w:rFonts w:ascii="Arial" w:eastAsia="Times New Roman" w:hAnsi="Arial" w:cs="Arial"/>
          <w:bCs/>
          <w:lang w:val="es-ES" w:eastAsia="es-MX"/>
        </w:rPr>
        <w:t xml:space="preserve">de </w:t>
      </w:r>
      <w:r w:rsidR="00767E9A">
        <w:rPr>
          <w:rFonts w:ascii="Arial" w:eastAsia="Times New Roman" w:hAnsi="Arial" w:cs="Arial"/>
          <w:bCs/>
          <w:lang w:val="es-ES" w:eastAsia="es-MX"/>
        </w:rPr>
        <w:t>mayo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 de dos mil veint</w:t>
      </w:r>
      <w:r>
        <w:rPr>
          <w:rFonts w:ascii="Arial" w:eastAsia="Times New Roman" w:hAnsi="Arial" w:cs="Arial"/>
          <w:bCs/>
          <w:lang w:val="es-ES" w:eastAsia="es-MX"/>
        </w:rPr>
        <w:t>iuno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0"/>
      <w:r w:rsidRPr="006E735B">
        <w:rPr>
          <w:rFonts w:ascii="Arial" w:eastAsia="Times New Roman" w:hAnsi="Arial" w:cs="Arial"/>
          <w:bCs/>
          <w:lang w:val="es-ES" w:eastAsia="es-MX"/>
        </w:rPr>
        <w:t>emitido por la Oficialía de Partes de este Tribunal, anexado con la documentación que en él se describe</w:t>
      </w:r>
      <w:r w:rsidRPr="006E735B">
        <w:rPr>
          <w:rFonts w:ascii="Arial" w:eastAsia="Times New Roman" w:hAnsi="Arial" w:cs="Arial"/>
          <w:bCs/>
          <w:lang w:eastAsia="es-MX"/>
        </w:rPr>
        <w:t>.</w:t>
      </w:r>
    </w:p>
    <w:p w14:paraId="4063C409" w14:textId="41D95579" w:rsidR="002816FD" w:rsidRPr="00B03670" w:rsidRDefault="002816FD" w:rsidP="002816FD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</w:rPr>
      </w:pPr>
      <w:r w:rsidRPr="00B03670">
        <w:rPr>
          <w:rFonts w:ascii="Arial" w:hAnsi="Arial" w:cs="Arial"/>
          <w:b/>
          <w:bCs/>
        </w:rPr>
        <w:t xml:space="preserve">Aguascalientes, Aguascalientes a </w:t>
      </w:r>
      <w:r w:rsidR="00E20227">
        <w:rPr>
          <w:rFonts w:ascii="Arial" w:hAnsi="Arial" w:cs="Arial"/>
          <w:b/>
          <w:bCs/>
        </w:rPr>
        <w:t>dos</w:t>
      </w:r>
      <w:r w:rsidR="00CB636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de </w:t>
      </w:r>
      <w:r w:rsidR="00767E9A">
        <w:rPr>
          <w:rFonts w:ascii="Arial" w:hAnsi="Arial" w:cs="Arial"/>
          <w:b/>
          <w:bCs/>
        </w:rPr>
        <w:t>mayo</w:t>
      </w:r>
      <w:r w:rsidRPr="00B03670">
        <w:rPr>
          <w:rFonts w:ascii="Arial" w:hAnsi="Arial" w:cs="Arial"/>
          <w:b/>
          <w:bCs/>
        </w:rPr>
        <w:t xml:space="preserve"> de dos mil veint</w:t>
      </w:r>
      <w:r>
        <w:rPr>
          <w:rFonts w:ascii="Arial" w:hAnsi="Arial" w:cs="Arial"/>
          <w:b/>
          <w:bCs/>
        </w:rPr>
        <w:t>iuno</w:t>
      </w:r>
      <w:r w:rsidRPr="00B03670">
        <w:rPr>
          <w:rFonts w:ascii="Arial" w:hAnsi="Arial" w:cs="Arial"/>
          <w:b/>
          <w:bCs/>
        </w:rPr>
        <w:t>.</w:t>
      </w:r>
    </w:p>
    <w:p w14:paraId="4E645653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hAnsi="Arial" w:cs="Arial"/>
        </w:rPr>
        <w:t>Vista la cuenta</w:t>
      </w:r>
      <w:r w:rsidRPr="006E735B">
        <w:rPr>
          <w:rFonts w:ascii="Arial" w:eastAsia="Times New Roman" w:hAnsi="Arial" w:cs="Arial"/>
          <w:bCs/>
          <w:lang w:eastAsia="es-MX"/>
        </w:rPr>
        <w:t>, con fundamento en los artículos 252 a 257 y 268 a 276 del Código Electoral del Estado de Aguascalientes; 101, fracción II, inciso d), del Reglamento Interior del Tribunal Electoral del Estado de Aguascalientes</w:t>
      </w:r>
      <w:r w:rsidRPr="006E735B">
        <w:rPr>
          <w:rFonts w:ascii="Arial" w:eastAsia="Times New Roman" w:hAnsi="Arial" w:cs="Arial"/>
          <w:b/>
          <w:i/>
          <w:lang w:eastAsia="es-ES"/>
        </w:rPr>
        <w:t xml:space="preserve"> </w:t>
      </w:r>
      <w:r w:rsidRPr="006E735B">
        <w:rPr>
          <w:rFonts w:ascii="Arial" w:eastAsia="Times New Roman" w:hAnsi="Arial" w:cs="Arial"/>
          <w:b/>
          <w:lang w:eastAsia="es-ES"/>
        </w:rPr>
        <w:t>SE</w:t>
      </w:r>
      <w:r w:rsidRPr="006E735B">
        <w:rPr>
          <w:rFonts w:ascii="Arial" w:eastAsia="Times New Roman" w:hAnsi="Arial" w:cs="Arial"/>
          <w:b/>
          <w:bCs/>
          <w:lang w:eastAsia="es-MX"/>
        </w:rPr>
        <w:t xml:space="preserve"> ACUERDA:</w:t>
      </w:r>
    </w:p>
    <w:p w14:paraId="7A508BCF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</w:p>
    <w:p w14:paraId="7F108659" w14:textId="1E19360B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PRIMERO.</w:t>
      </w:r>
      <w:r w:rsidRPr="006E735B">
        <w:rPr>
          <w:rFonts w:ascii="Arial" w:eastAsia="Times New Roman" w:hAnsi="Arial" w:cs="Arial"/>
          <w:bCs/>
          <w:lang w:eastAsia="es-MX"/>
        </w:rPr>
        <w:t xml:space="preserve"> Con el escrito de cuenta y sus anexos, intégrese el expediente respectivo y regístrese en el Libro de Gobierno con la clave </w:t>
      </w:r>
      <w:r>
        <w:rPr>
          <w:rFonts w:ascii="Arial" w:eastAsia="Times New Roman" w:hAnsi="Arial" w:cs="Arial"/>
          <w:b/>
          <w:bCs/>
          <w:lang w:eastAsia="es-MX"/>
        </w:rPr>
        <w:t>TEEA-PES-0</w:t>
      </w:r>
      <w:r w:rsidR="00767E9A">
        <w:rPr>
          <w:rFonts w:ascii="Arial" w:eastAsia="Times New Roman" w:hAnsi="Arial" w:cs="Arial"/>
          <w:b/>
          <w:bCs/>
          <w:lang w:eastAsia="es-MX"/>
        </w:rPr>
        <w:t>2</w:t>
      </w:r>
      <w:r w:rsidR="00E20227">
        <w:rPr>
          <w:rFonts w:ascii="Arial" w:eastAsia="Times New Roman" w:hAnsi="Arial" w:cs="Arial"/>
          <w:b/>
          <w:bCs/>
          <w:lang w:eastAsia="es-MX"/>
        </w:rPr>
        <w:t>4</w:t>
      </w:r>
      <w:r>
        <w:rPr>
          <w:rFonts w:ascii="Arial" w:eastAsia="Times New Roman" w:hAnsi="Arial" w:cs="Arial"/>
          <w:b/>
          <w:bCs/>
          <w:lang w:eastAsia="es-MX"/>
        </w:rPr>
        <w:t>/2021.</w:t>
      </w:r>
    </w:p>
    <w:p w14:paraId="37FEF1CE" w14:textId="7E1BEA33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 xml:space="preserve">SEGUNDO. </w:t>
      </w:r>
      <w:r w:rsidRPr="006E735B">
        <w:rPr>
          <w:rFonts w:ascii="Arial" w:eastAsia="Times New Roman" w:hAnsi="Arial" w:cs="Arial"/>
          <w:bCs/>
          <w:lang w:eastAsia="es-MX"/>
        </w:rPr>
        <w:t>Para los efectos previstos en los artículos 274, y 357, fracción VIII, inciso e), del Código Electoral de esta entidad, 101, fracción II, inciso d) y 102, del Reglamento Interior de este Tribunal, túrnese los autos a la Ponencia de</w:t>
      </w:r>
      <w:r w:rsidR="00525669">
        <w:rPr>
          <w:rFonts w:ascii="Arial" w:eastAsia="Times New Roman" w:hAnsi="Arial" w:cs="Arial"/>
          <w:bCs/>
          <w:lang w:eastAsia="es-MX"/>
        </w:rPr>
        <w:t xml:space="preserve"> </w:t>
      </w:r>
      <w:r w:rsidR="00BC1A34">
        <w:rPr>
          <w:rFonts w:ascii="Arial" w:eastAsia="Times New Roman" w:hAnsi="Arial" w:cs="Arial"/>
          <w:bCs/>
          <w:lang w:eastAsia="es-MX"/>
        </w:rPr>
        <w:t>l</w:t>
      </w:r>
      <w:r w:rsidR="00525669">
        <w:rPr>
          <w:rFonts w:ascii="Arial" w:eastAsia="Times New Roman" w:hAnsi="Arial" w:cs="Arial"/>
          <w:bCs/>
          <w:lang w:eastAsia="es-MX"/>
        </w:rPr>
        <w:t>a</w:t>
      </w:r>
      <w:r w:rsidRPr="006E735B">
        <w:rPr>
          <w:rFonts w:ascii="Arial" w:eastAsia="Times New Roman" w:hAnsi="Arial" w:cs="Arial"/>
          <w:bCs/>
          <w:lang w:eastAsia="es-MX"/>
        </w:rPr>
        <w:t xml:space="preserve"> </w:t>
      </w:r>
      <w:r w:rsidR="00525669">
        <w:rPr>
          <w:rFonts w:ascii="Arial" w:eastAsia="Times New Roman" w:hAnsi="Arial" w:cs="Arial"/>
          <w:bCs/>
          <w:lang w:eastAsia="es-MX"/>
        </w:rPr>
        <w:t xml:space="preserve">suscrita </w:t>
      </w:r>
      <w:r w:rsidRPr="00B03670">
        <w:rPr>
          <w:rFonts w:ascii="Arial" w:eastAsia="Times New Roman" w:hAnsi="Arial" w:cs="Arial"/>
          <w:b/>
          <w:bCs/>
          <w:lang w:eastAsia="es-MX"/>
        </w:rPr>
        <w:t>Magistrad</w:t>
      </w:r>
      <w:r w:rsidR="00525669">
        <w:rPr>
          <w:rFonts w:ascii="Arial" w:eastAsia="Times New Roman" w:hAnsi="Arial" w:cs="Arial"/>
          <w:b/>
          <w:bCs/>
          <w:lang w:eastAsia="es-MX"/>
        </w:rPr>
        <w:t>a</w:t>
      </w:r>
      <w:r>
        <w:rPr>
          <w:rFonts w:ascii="Arial" w:eastAsia="Times New Roman" w:hAnsi="Arial" w:cs="Arial"/>
          <w:b/>
          <w:bCs/>
          <w:lang w:eastAsia="es-MX"/>
        </w:rPr>
        <w:t xml:space="preserve"> </w:t>
      </w:r>
      <w:r w:rsidR="00E20227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  <w:r w:rsidR="00BC1A34">
        <w:rPr>
          <w:rFonts w:ascii="Arial" w:eastAsia="Times New Roman" w:hAnsi="Arial" w:cs="Arial"/>
          <w:b/>
          <w:bCs/>
          <w:lang w:eastAsia="es-MX"/>
        </w:rPr>
        <w:t>.</w:t>
      </w:r>
    </w:p>
    <w:p w14:paraId="4A8F2DD9" w14:textId="77777777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B03670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Pr="006E735B">
        <w:rPr>
          <w:rFonts w:ascii="Arial" w:eastAsia="Times New Roman" w:hAnsi="Arial" w:cs="Arial"/>
          <w:bCs/>
          <w:lang w:eastAsia="es-MX"/>
        </w:rPr>
        <w:t>Hágase del conocimiento a través de los Estrados físicos y electrónicos de este Tribunal;</w:t>
      </w:r>
    </w:p>
    <w:p w14:paraId="71DEB8A4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>Así lo acordó y firma la Magistrada Presidenta de este Tribunal Electoral, ante el Secretario General de Acuerdos, que autoriza y da fe.</w:t>
      </w:r>
    </w:p>
    <w:p w14:paraId="085E717B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both"/>
        <w:rPr>
          <w:rFonts w:ascii="Arial" w:eastAsia="Times New Roman" w:hAnsi="Arial" w:cs="Arial"/>
          <w:bCs/>
          <w:lang w:eastAsia="es-MX"/>
        </w:rPr>
      </w:pPr>
    </w:p>
    <w:p w14:paraId="2A341F93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2CAC2478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 xml:space="preserve">Magistrada </w:t>
      </w:r>
      <w:proofErr w:type="gramStart"/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Presidenta</w:t>
      </w:r>
      <w:proofErr w:type="gramEnd"/>
    </w:p>
    <w:p w14:paraId="62FFCFCE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</w:p>
    <w:p w14:paraId="0AD4053B" w14:textId="77777777" w:rsid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02D951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66155D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Secretario General de Acuerdos</w:t>
      </w:r>
    </w:p>
    <w:p w14:paraId="3DAB5BA3" w14:textId="67F78D3E" w:rsidR="0092187B" w:rsidRP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Jesús Ociel Baena Saucedo</w:t>
      </w:r>
    </w:p>
    <w:sectPr w:rsidR="0092187B" w:rsidRPr="002816FD" w:rsidSect="00B454EB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B11" w14:textId="77777777" w:rsidR="00740B55" w:rsidRDefault="00D047A8">
    <w:pPr>
      <w:pStyle w:val="Piedepgina"/>
      <w:jc w:val="right"/>
    </w:pPr>
  </w:p>
  <w:p w14:paraId="39FC2AA4" w14:textId="77777777" w:rsidR="00740B55" w:rsidRDefault="00D047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9648" w14:textId="77777777" w:rsidR="00740B55" w:rsidRDefault="00D047A8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Acuerdo de Turno de Presidencia</w:t>
    </w:r>
  </w:p>
  <w:p w14:paraId="46588553" w14:textId="77777777" w:rsidR="00740B55" w:rsidRDefault="00D047A8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D047A8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D047A8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D047A8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D047A8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086518"/>
    <w:rsid w:val="002816FD"/>
    <w:rsid w:val="003213DE"/>
    <w:rsid w:val="003739B8"/>
    <w:rsid w:val="0048562C"/>
    <w:rsid w:val="004F0FF6"/>
    <w:rsid w:val="00525669"/>
    <w:rsid w:val="00767E9A"/>
    <w:rsid w:val="00872D98"/>
    <w:rsid w:val="00885166"/>
    <w:rsid w:val="0092187B"/>
    <w:rsid w:val="00AB5D18"/>
    <w:rsid w:val="00B07C59"/>
    <w:rsid w:val="00BC1A34"/>
    <w:rsid w:val="00BE59D6"/>
    <w:rsid w:val="00BF7343"/>
    <w:rsid w:val="00C43F37"/>
    <w:rsid w:val="00CB6368"/>
    <w:rsid w:val="00D53B88"/>
    <w:rsid w:val="00D70A54"/>
    <w:rsid w:val="00E20227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18</cp:revision>
  <cp:lastPrinted>2021-05-02T18:35:00Z</cp:lastPrinted>
  <dcterms:created xsi:type="dcterms:W3CDTF">2021-01-09T02:57:00Z</dcterms:created>
  <dcterms:modified xsi:type="dcterms:W3CDTF">2021-05-02T18:57:00Z</dcterms:modified>
</cp:coreProperties>
</file>